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bidiVisual/>
        <w:tblW w:w="498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6194"/>
        <w:gridCol w:w="1997"/>
      </w:tblGrid>
      <w:tr>
        <w:trPr>
          <w:jc w:val="center"/>
        </w:trPr>
        <w:tc>
          <w:tcPr>
            <w:tcW w:w="1271" w:type="pct"/>
            <w:tcBorders/>
          </w:tcPr>
          <w:p>
            <w:pPr>
              <w:pStyle w:val="style0"/>
              <w:bidi/>
              <w:spacing w:after="0" w:lineRule="auto" w:line="24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الجمهورية العـــربـيـة الســــوريــــ</w:t>
            </w:r>
            <w:r>
              <w:rPr>
                <w:rFonts w:hint="cs"/>
                <w:rtl/>
              </w:rPr>
              <w:t>ـ</w:t>
            </w:r>
            <w:r>
              <w:rPr>
                <w:rFonts w:hint="cs"/>
                <w:rtl/>
                <w:lang w:bidi="ar-SY"/>
              </w:rPr>
              <w:t xml:space="preserve">ة  </w:t>
            </w:r>
          </w:p>
          <w:p>
            <w:pPr>
              <w:pStyle w:val="style0"/>
              <w:bidi/>
              <w:spacing w:after="0" w:lineRule="auto" w:line="24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وزارة التعليم العالي والبحث العلمــي</w:t>
            </w:r>
          </w:p>
          <w:p>
            <w:pPr>
              <w:pStyle w:val="style0"/>
              <w:bidi/>
              <w:spacing w:after="0" w:lineRule="auto" w:line="24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جــــــامــــعـــــــــــة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دمـــــــــشــــــق</w:t>
            </w:r>
          </w:p>
          <w:p>
            <w:pPr>
              <w:pStyle w:val="style0"/>
              <w:bidi/>
              <w:spacing w:after="0" w:lineRule="auto" w:line="24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كــلــيــة الطــــب الـــبـشــــــــــــــري</w:t>
            </w:r>
          </w:p>
          <w:p>
            <w:pPr>
              <w:pStyle w:val="style0"/>
              <w:bidi/>
              <w:spacing w:after="0" w:lineRule="auto" w:line="240"/>
              <w:rPr>
                <w:rtl/>
                <w:lang w:bidi="ar-SY"/>
              </w:rPr>
            </w:pPr>
            <w:r>
              <w:rPr>
                <w:rtl/>
                <w:lang w:bidi="ar-SY"/>
              </w:rPr>
              <w:t>ق</w:t>
            </w:r>
            <w:r>
              <w:rPr>
                <w:rFonts w:hint="cs"/>
                <w:rtl/>
                <w:lang w:bidi="ar-SY"/>
              </w:rPr>
              <w:t>ـــ</w:t>
            </w:r>
            <w:r>
              <w:rPr>
                <w:rtl/>
                <w:lang w:bidi="ar-SY"/>
              </w:rPr>
              <w:t>س</w:t>
            </w:r>
            <w:r>
              <w:rPr>
                <w:rFonts w:hint="cs"/>
                <w:rtl/>
                <w:lang w:bidi="ar-SY"/>
              </w:rPr>
              <w:t>ــــــــــــــ</w:t>
            </w:r>
            <w:r>
              <w:rPr>
                <w:rtl/>
                <w:lang w:bidi="ar-SY"/>
              </w:rPr>
              <w:t xml:space="preserve">م </w:t>
            </w:r>
            <w:r>
              <w:rPr>
                <w:rFonts w:hint="cs"/>
                <w:rtl/>
                <w:lang w:bidi="ar-SY"/>
              </w:rPr>
              <w:t>الجراحــــــــــــــــــــة</w:t>
            </w:r>
            <w:r>
              <w:rPr>
                <w:rFonts w:hint="cs"/>
                <w:rtl/>
                <w:lang w:bidi="ar-SY"/>
              </w:rPr>
              <w:t xml:space="preserve"> </w:t>
            </w:r>
          </w:p>
        </w:tc>
        <w:tc>
          <w:tcPr>
            <w:tcW w:w="2820" w:type="pct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</w:pP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تقييم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الوظيفة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الكلوية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بعد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استئصال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الكلية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القسمي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مع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أو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بدون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وضع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ملقط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على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الشريان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الكلوي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: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دراسة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DecoType Thuluth" w:hint="cs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>مقارنة</w:t>
            </w: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rtl/>
                <w:lang w:bidi="ar-SY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Monotype Corsiva" w:cs="DecoType Thuluth" w:eastAsia="Times New Roman" w:hAnsi="Monotype Corsiva"/>
                <w:color w:val="0070c0"/>
                <w:spacing w:val="-4"/>
                <w:sz w:val="28"/>
                <w:szCs w:val="28"/>
                <w:rtl/>
              </w:rPr>
            </w:pPr>
            <w:r>
              <w:rPr>
                <w:rFonts w:cs="DecoType Thuluth"/>
                <w:b/>
                <w:bCs/>
                <w:color w:val="0070c0"/>
                <w:spacing w:val="-4"/>
                <w:sz w:val="28"/>
                <w:szCs w:val="28"/>
                <w:lang w:bidi="ar-SY"/>
              </w:rPr>
              <w:t>Evaluation of renal function after partial nephrectomy with and without renal artery clamping: a comparative study</w:t>
            </w:r>
          </w:p>
        </w:tc>
        <w:tc>
          <w:tcPr>
            <w:tcW w:w="909" w:type="pct"/>
            <w:tcBorders/>
          </w:tcPr>
          <w:p>
            <w:pPr>
              <w:pStyle w:val="style0"/>
              <w:tabs>
                <w:tab w:val="center" w:leader="none" w:pos="4819"/>
              </w:tabs>
              <w:bidi/>
              <w:spacing w:after="0" w:lineRule="auto" w:line="240"/>
              <w:jc w:val="center"/>
              <w:rPr>
                <w:rFonts w:cs="DecoType Thuluth"/>
                <w:b/>
                <w:bCs/>
                <w:color w:val="0070c0"/>
                <w:rtl/>
              </w:rPr>
            </w:pPr>
            <w:r>
              <w:rPr>
                <w:noProof/>
              </w:rPr>
              <w:drawing>
                <wp:inline distL="0" distT="0" distB="0" distR="0">
                  <wp:extent cx="856648" cy="852490"/>
                  <wp:effectExtent l="0" t="0" r="635" b="5080"/>
                  <wp:docPr id="1026" name="صورة 14" descr="الوصف: dam_logo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856648" cy="852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0" w:name="_GoBack"/>
      <w:bookmarkEnd w:id="0"/>
    </w:tbl>
    <w:p>
      <w:pPr>
        <w:pStyle w:val="style0"/>
        <w:bidi/>
        <w:rPr>
          <w:sz w:val="2"/>
          <w:szCs w:val="2"/>
          <w:rtl/>
        </w:rPr>
      </w:pPr>
    </w:p>
    <w:p>
      <w:pPr>
        <w:pStyle w:val="style0"/>
        <w:bidi/>
        <w:rPr>
          <w:sz w:val="2"/>
          <w:szCs w:val="2"/>
          <w:rtl/>
        </w:rPr>
      </w:pPr>
    </w:p>
    <w:p>
      <w:pPr>
        <w:pStyle w:val="style0"/>
        <w:bidi/>
        <w:jc w:val="center"/>
        <w:rPr>
          <w:rFonts w:cs="Arial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>
        <w:rPr>
          <w:rFonts w:hint="cs"/>
          <w:b/>
          <w:bCs/>
          <w:sz w:val="28"/>
          <w:szCs w:val="28"/>
          <w:rtl/>
        </w:rPr>
        <w:t xml:space="preserve">عداد </w:t>
      </w:r>
      <w:r>
        <w:rPr>
          <w:rFonts w:hint="cs"/>
          <w:b/>
          <w:bCs/>
          <w:sz w:val="28"/>
          <w:szCs w:val="28"/>
          <w:rtl/>
        </w:rPr>
        <w:t>طالب</w:t>
      </w:r>
      <w:r>
        <w:rPr>
          <w:rFonts w:hint="cs"/>
          <w:b/>
          <w:bCs/>
          <w:sz w:val="28"/>
          <w:szCs w:val="28"/>
          <w:rtl/>
        </w:rPr>
        <w:t xml:space="preserve"> الدراسات العليا</w:t>
      </w:r>
      <w:r>
        <w:rPr>
          <w:rFonts w:hint="cs"/>
          <w:sz w:val="28"/>
          <w:szCs w:val="28"/>
          <w:rtl/>
        </w:rPr>
        <w:t>: د.</w:t>
      </w:r>
      <w:r>
        <w:rPr>
          <w:rFonts w:cs="Arial" w:hint="cs"/>
          <w:sz w:val="28"/>
          <w:szCs w:val="28"/>
          <w:rtl/>
        </w:rPr>
        <w:t>يوسف شندين عثمان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إ</w:t>
      </w:r>
      <w:r>
        <w:rPr>
          <w:rFonts w:hint="cs"/>
          <w:b/>
          <w:bCs/>
          <w:sz w:val="28"/>
          <w:szCs w:val="28"/>
          <w:rtl/>
        </w:rPr>
        <w:t>شراف ال</w:t>
      </w:r>
      <w:r>
        <w:rPr>
          <w:rFonts w:hint="cs"/>
          <w:b/>
          <w:bCs/>
          <w:sz w:val="28"/>
          <w:szCs w:val="28"/>
          <w:rtl/>
        </w:rPr>
        <w:t>مدرس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الدكتور</w:t>
      </w:r>
      <w:r>
        <w:rPr>
          <w:rFonts w:hint="cs"/>
          <w:sz w:val="28"/>
          <w:szCs w:val="28"/>
          <w:rtl/>
        </w:rPr>
        <w:t>:</w:t>
      </w:r>
      <w:r>
        <w:rPr>
          <w:rFonts w:cs="Arial"/>
          <w:sz w:val="28"/>
          <w:szCs w:val="28"/>
          <w:rtl/>
        </w:rPr>
        <w:t xml:space="preserve">  </w:t>
      </w:r>
      <w:r>
        <w:rPr>
          <w:rFonts w:cs="Arial" w:hint="cs"/>
          <w:sz w:val="28"/>
          <w:szCs w:val="28"/>
          <w:rtl/>
        </w:rPr>
        <w:t>محمد الطويل</w:t>
      </w:r>
    </w:p>
    <w:p>
      <w:pPr>
        <w:pStyle w:val="style0"/>
        <w:bidi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شعبة </w:t>
      </w:r>
      <w:r>
        <w:rPr>
          <w:rFonts w:hint="cs"/>
          <w:sz w:val="24"/>
          <w:szCs w:val="24"/>
          <w:rtl/>
        </w:rPr>
        <w:t>الجراحة البولية والتناسلية</w:t>
      </w:r>
    </w:p>
    <w:tbl>
      <w:tblPr>
        <w:tblStyle w:val="style23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83"/>
      </w:tblGrid>
      <w:tr>
        <w:trPr>
          <w:jc w:val="center"/>
        </w:trPr>
        <w:tc>
          <w:tcPr>
            <w:tcW w:w="10283" w:type="dxa"/>
            <w:tcBorders/>
            <w:shd w:val="clear" w:color="auto" w:fill="b2a1c7"/>
          </w:tcPr>
          <w:p>
            <w:pPr>
              <w:pStyle w:val="style0"/>
              <w:bidi/>
              <w:spacing w:after="0" w:lineRule="auto" w:line="276"/>
              <w:jc w:val="lowKashida"/>
              <w:rPr>
                <w:rFonts w:ascii="Arial" w:cs="Arial" w:hAnsi="Arial"/>
                <w:b w:val="false"/>
                <w:bCs w:val="false"/>
                <w:sz w:val="28"/>
                <w:szCs w:val="28"/>
                <w:rtl/>
              </w:rPr>
            </w:pPr>
            <w:r>
              <w:rPr>
                <w:rFonts w:ascii="Arial" w:cs="Arial" w:hAnsi="Arial"/>
                <w:b w:val="false"/>
                <w:bCs w:val="false"/>
                <w:sz w:val="28"/>
                <w:szCs w:val="28"/>
                <w:rtl/>
              </w:rPr>
              <w:t xml:space="preserve">المقدمة : </w:t>
            </w:r>
          </w:p>
        </w:tc>
      </w:tr>
      <w:tr>
        <w:tblPrEx/>
        <w:trPr>
          <w:jc w:val="center"/>
        </w:trPr>
        <w:tc>
          <w:tcPr>
            <w:tcW w:w="10283" w:type="dxa"/>
            <w:tcBorders/>
          </w:tcPr>
          <w:p>
            <w:pPr>
              <w:pStyle w:val="style0"/>
              <w:bidi/>
              <w:spacing w:after="0" w:lineRule="auto" w:line="276"/>
              <w:jc w:val="lowKashida"/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</w:pP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نظراً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لكون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الهدف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الرئيسي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لاستئصال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الكلية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القسمي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في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معالجة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أورام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الكلية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(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</w:rPr>
              <w:t>T1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)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هو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المحافظة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على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النسيج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الكلوي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السليم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و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بالتالي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الحفاظ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على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الوظيفة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الكلوية،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وباعتبار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أن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انخفاض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معدل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الرشح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الكبي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يترافق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مع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معدلات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أعلى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لاحتمالية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التعرض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لحوادث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قلبية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وعائية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ومعدل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بقيا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أخفض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بالمجمل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.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ونظراً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لوجود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تقنيات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عديدة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لاستئصال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الكلية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القسمي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لذلك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لابد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من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تقييم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الوظيفة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الكلوية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بعد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استئصال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الكلية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القسمي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مع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أو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بدون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قطع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التروية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عبر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وضع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ملقط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على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الشريان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4"/>
                <w:sz w:val="24"/>
                <w:szCs w:val="24"/>
                <w:rtl/>
              </w:rPr>
              <w:t>الكلوي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 xml:space="preserve"> (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</w:rPr>
              <w:t>With or without renal artery clamping</w:t>
            </w:r>
            <w:r>
              <w:rPr>
                <w:rFonts w:ascii="Arial" w:cs="Arial" w:hAnsi="Arial"/>
                <w:b w:val="false"/>
                <w:bCs w:val="false"/>
                <w:spacing w:val="-4"/>
                <w:sz w:val="24"/>
                <w:szCs w:val="24"/>
                <w:rtl/>
              </w:rPr>
              <w:t>).</w:t>
            </w:r>
          </w:p>
        </w:tc>
      </w:tr>
    </w:tbl>
    <w:p>
      <w:pPr>
        <w:pStyle w:val="style0"/>
        <w:bidi/>
        <w:rPr>
          <w:sz w:val="4"/>
          <w:szCs w:val="4"/>
          <w:rtl/>
        </w:rPr>
      </w:pPr>
    </w:p>
    <w:tbl>
      <w:tblPr>
        <w:tblStyle w:val="style235"/>
        <w:bidiVisual/>
        <w:tblW w:w="4698" w:type="pc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262"/>
        <w:gridCol w:w="2445"/>
        <w:gridCol w:w="260"/>
        <w:gridCol w:w="3505"/>
        <w:gridCol w:w="262"/>
        <w:gridCol w:w="1578"/>
      </w:tblGrid>
      <w:tr>
        <w:trPr/>
        <w:tc>
          <w:tcPr>
            <w:tcW w:w="8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/>
            <w:vAlign w:val="center"/>
          </w:tcPr>
          <w:p>
            <w:pPr>
              <w:pStyle w:val="style0"/>
              <w:bidi/>
              <w:spacing w:after="0" w:lineRule="auto" w:line="240"/>
              <w:jc w:val="center"/>
              <w:rPr>
                <w:rFonts w:ascii="Arial" w:cs="Arial" w:hAnsi="Arial"/>
                <w:sz w:val="28"/>
                <w:szCs w:val="28"/>
                <w:rtl/>
              </w:rPr>
            </w:pPr>
            <w:r>
              <w:rPr>
                <w:rFonts w:ascii="Arial" w:cs="Arial" w:hAnsi="Arial"/>
                <w:sz w:val="28"/>
                <w:szCs w:val="28"/>
                <w:rtl/>
              </w:rPr>
              <w:t>اهداف البحث</w:t>
            </w:r>
          </w:p>
        </w:tc>
        <w:tc>
          <w:tcPr>
            <w:tcW w:w="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after="0" w:lineRule="auto" w:line="276"/>
              <w:jc w:val="center"/>
              <w:rPr>
                <w:rFonts w:ascii="Arial" w:cs="Arial" w:hAnsi="Arial"/>
                <w:sz w:val="2"/>
                <w:szCs w:val="2"/>
                <w:rtl/>
              </w:rPr>
            </w:pPr>
          </w:p>
        </w:tc>
        <w:tc>
          <w:tcPr>
            <w:tcW w:w="12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/>
            <w:vAlign w:val="center"/>
          </w:tcPr>
          <w:p>
            <w:pPr>
              <w:pStyle w:val="style0"/>
              <w:bidi/>
              <w:spacing w:after="0" w:lineRule="auto" w:line="276"/>
              <w:jc w:val="center"/>
              <w:rPr>
                <w:rFonts w:ascii="Arial" w:cs="Arial" w:hAnsi="Arial"/>
                <w:sz w:val="28"/>
                <w:szCs w:val="28"/>
                <w:rtl/>
              </w:rPr>
            </w:pPr>
            <w:r>
              <w:rPr>
                <w:rFonts w:ascii="Arial" w:cs="Arial" w:hAnsi="Arial"/>
                <w:sz w:val="28"/>
                <w:szCs w:val="28"/>
                <w:rtl/>
              </w:rPr>
              <w:t>المواد و الطرائق</w:t>
            </w:r>
          </w:p>
        </w:tc>
        <w:tc>
          <w:tcPr>
            <w:tcW w:w="1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after="0" w:lineRule="auto" w:line="276"/>
              <w:jc w:val="center"/>
              <w:rPr>
                <w:rFonts w:ascii="Arial" w:cs="Arial" w:hAnsi="Arial"/>
                <w:sz w:val="2"/>
                <w:szCs w:val="2"/>
                <w:rtl/>
              </w:rPr>
            </w:pPr>
          </w:p>
        </w:tc>
        <w:tc>
          <w:tcPr>
            <w:tcW w:w="17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/>
            <w:vAlign w:val="center"/>
          </w:tcPr>
          <w:p>
            <w:pPr>
              <w:pStyle w:val="style0"/>
              <w:bidi/>
              <w:spacing w:after="0" w:lineRule="auto" w:line="240"/>
              <w:jc w:val="center"/>
              <w:rPr>
                <w:rFonts w:ascii="Arial" w:cs="Arial" w:hAnsi="Arial"/>
                <w:sz w:val="28"/>
                <w:szCs w:val="28"/>
                <w:rtl/>
              </w:rPr>
            </w:pPr>
            <w:r>
              <w:rPr>
                <w:rFonts w:ascii="Arial" w:cs="Arial" w:hAnsi="Arial"/>
                <w:sz w:val="28"/>
                <w:szCs w:val="28"/>
                <w:rtl/>
              </w:rPr>
              <w:t>النتائج</w:t>
            </w:r>
          </w:p>
        </w:tc>
        <w:tc>
          <w:tcPr>
            <w:tcW w:w="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after="0" w:lineRule="auto" w:line="276"/>
              <w:jc w:val="center"/>
              <w:rPr>
                <w:rFonts w:ascii="Arial" w:cs="Arial" w:hAnsi="Arial"/>
                <w:sz w:val="2"/>
                <w:szCs w:val="2"/>
                <w:rtl/>
              </w:rPr>
            </w:pP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/>
            <w:vAlign w:val="center"/>
          </w:tcPr>
          <w:p>
            <w:pPr>
              <w:pStyle w:val="style0"/>
              <w:bidi/>
              <w:spacing w:after="0" w:lineRule="auto" w:line="240"/>
              <w:jc w:val="center"/>
              <w:rPr>
                <w:rFonts w:ascii="Arial" w:cs="Arial" w:hAnsi="Arial"/>
                <w:sz w:val="28"/>
                <w:szCs w:val="28"/>
                <w:rtl/>
              </w:rPr>
            </w:pPr>
            <w:r>
              <w:rPr>
                <w:rFonts w:ascii="Arial" w:cs="Arial" w:hAnsi="Arial"/>
                <w:sz w:val="28"/>
                <w:szCs w:val="28"/>
                <w:rtl/>
              </w:rPr>
              <w:t>الخلاصة :</w:t>
            </w:r>
          </w:p>
        </w:tc>
      </w:tr>
      <w:tr>
        <w:tblPrEx/>
        <w:trPr/>
        <w:tc>
          <w:tcPr>
            <w:tcW w:w="874" w:type="pct"/>
            <w:tcBorders>
              <w:right w:val="none" w:sz="0" w:space="0" w:color="auto"/>
            </w:tcBorders>
          </w:tcPr>
          <w:p>
            <w:pPr>
              <w:pStyle w:val="style0"/>
              <w:bidi/>
              <w:spacing w:after="0" w:lineRule="auto" w:line="276"/>
              <w:jc w:val="mediumKashida"/>
              <w:rPr>
                <w:rFonts w:ascii="Arial" w:cs="Arial" w:hAnsi="Arial"/>
                <w:b w:val="false"/>
                <w:bCs w:val="false"/>
                <w:spacing w:val="-2"/>
                <w:sz w:val="4"/>
                <w:szCs w:val="4"/>
                <w:rtl/>
                <w:lang w:bidi="ar-SY"/>
              </w:rPr>
            </w:pPr>
          </w:p>
          <w:p>
            <w:pPr>
              <w:pStyle w:val="style0"/>
              <w:bidi/>
              <w:spacing w:after="0" w:lineRule="auto" w:line="360"/>
              <w:jc w:val="lowKashida"/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</w:pP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إن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هدف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هذا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البحث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هو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تقييم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الوظيفة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الكلوية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بعد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استئصال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الكلية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القسمي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مع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أو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بدون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قطع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التروية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عبر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وضع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ملقط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على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الشريان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الكلوي</w:t>
            </w:r>
            <w:r>
              <w:rPr>
                <w:rFonts w:ascii="Arial" w:cs="Arial" w:hAnsi="Arial"/>
                <w:b w:val="false"/>
                <w:bCs w:val="false"/>
                <w:spacing w:val="-2"/>
                <w:sz w:val="24"/>
                <w:szCs w:val="24"/>
                <w:rtl/>
                <w:lang w:bidi="ar-SY"/>
              </w:rPr>
              <w:t>.</w:t>
            </w:r>
          </w:p>
        </w:tc>
        <w:tc>
          <w:tcPr>
            <w:tcW w:w="13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>
            <w:pPr>
              <w:pStyle w:val="style0"/>
              <w:bidi/>
              <w:spacing w:after="0" w:lineRule="auto" w:line="276"/>
              <w:jc w:val="lowKashida"/>
              <w:rPr>
                <w:rFonts w:ascii="Arial" w:cs="Arial" w:hAnsi="Arial"/>
                <w:sz w:val="2"/>
                <w:szCs w:val="2"/>
                <w:rtl/>
                <w:lang w:bidi="ar-SY"/>
              </w:rPr>
            </w:pPr>
          </w:p>
        </w:tc>
        <w:tc>
          <w:tcPr>
            <w:tcW w:w="1213" w:type="pct"/>
            <w:tcBorders>
              <w:left w:val="none" w:sz="0" w:space="0" w:color="auto"/>
              <w:right w:val="none" w:sz="0" w:space="0" w:color="auto"/>
            </w:tcBorders>
          </w:tcPr>
          <w:p>
            <w:pPr>
              <w:pStyle w:val="style0"/>
              <w:bidi/>
              <w:spacing w:after="0" w:lineRule="auto" w:line="360"/>
              <w:jc w:val="lowKashida"/>
              <w:rPr>
                <w:rFonts w:ascii="Arial" w:cs="Arial" w:hAnsi="Arial"/>
                <w:sz w:val="4"/>
                <w:szCs w:val="4"/>
                <w:rtl/>
                <w:lang w:bidi="ar-SY"/>
              </w:rPr>
            </w:pPr>
          </w:p>
          <w:p>
            <w:pPr>
              <w:pStyle w:val="style0"/>
              <w:bidi/>
              <w:spacing w:after="0" w:lineRule="auto" w:line="360"/>
              <w:jc w:val="lowKashida"/>
              <w:rPr>
                <w:rFonts w:ascii="Arial" w:cs="Arial" w:hAnsi="Arial"/>
                <w:sz w:val="24"/>
                <w:szCs w:val="24"/>
                <w:rtl/>
              </w:rPr>
            </w:pP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دراسة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حشدية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تقدمية،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لمرضى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أورام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الكلية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من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الدرجة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  <w:lang w:bidi="ar-SY"/>
              </w:rPr>
              <w:t>T1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الذين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تم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علاجهم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جراحياً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عبر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استئصال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الكلية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القسمي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(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مع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أو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بدون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وضع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ملقط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على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الشريان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الكلوي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>)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،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حيث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تم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بداية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تدوين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بيانات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ومعلومات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المرضى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ومن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ثم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متابعتهم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بعد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التداخل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الجراحي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المتخذ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لمدة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عام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واحد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لدراسة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مدى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تأثر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الوظيفة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الكلوية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لديهم</w:t>
            </w:r>
          </w:p>
        </w:tc>
        <w:tc>
          <w:tcPr>
            <w:tcW w:w="12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>
            <w:pPr>
              <w:pStyle w:val="style0"/>
              <w:bidi/>
              <w:spacing w:after="0" w:lineRule="auto" w:line="276"/>
              <w:jc w:val="center"/>
              <w:rPr>
                <w:rFonts w:ascii="Arial" w:cs="Arial" w:hAnsi="Arial"/>
                <w:b/>
                <w:bCs/>
                <w:color w:val="ffffff"/>
                <w:sz w:val="2"/>
                <w:szCs w:val="2"/>
                <w:rtl/>
              </w:rPr>
            </w:pPr>
          </w:p>
        </w:tc>
        <w:tc>
          <w:tcPr>
            <w:tcW w:w="1739" w:type="pct"/>
            <w:tcBorders>
              <w:left w:val="none" w:sz="0" w:space="0" w:color="auto"/>
              <w:right w:val="none" w:sz="0" w:space="0" w:color="auto"/>
            </w:tcBorders>
          </w:tcPr>
          <w:p>
            <w:pPr>
              <w:pStyle w:val="style0"/>
              <w:bidi/>
              <w:spacing w:after="0" w:lineRule="auto" w:line="276"/>
              <w:jc w:val="lowKashida"/>
              <w:rPr>
                <w:rFonts w:ascii="Arial" w:cs="Arial" w:hAnsi="Arial"/>
                <w:spacing w:val="-6"/>
                <w:sz w:val="4"/>
                <w:szCs w:val="4"/>
                <w:rtl/>
                <w:lang w:bidi="ar-SY"/>
              </w:rPr>
            </w:pPr>
          </w:p>
          <w:p>
            <w:pPr>
              <w:pStyle w:val="style0"/>
              <w:bidi/>
              <w:spacing w:after="0" w:lineRule="auto" w:line="360"/>
              <w:jc w:val="lowKashida"/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</w:pP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تم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إدراج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40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مريضًا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في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الدراسة،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20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مريض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في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كل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مجموعة،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أغلب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مرضى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الدراسة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من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الذكور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ومتوسط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أعمارهم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كان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في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العقد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السادس،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متوسط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/>
                <w:spacing w:val="-6"/>
                <w:sz w:val="24"/>
                <w:szCs w:val="24"/>
                <w:lang w:bidi="ar-SY"/>
              </w:rPr>
              <w:t>RENAL Score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كان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أعلى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في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مجموعة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إغلاق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الشريان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الكلوي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(9.1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مقابل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6.2).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مدة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العمل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الجراحي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وكمية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الدم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المفقود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خلال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العمل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الجراحي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والحاجة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لنقل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الدم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كانت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أعلى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في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مجموعة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عدم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إغلاق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الشريان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الكلوي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مع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وجود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فارق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هام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إحصائياً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.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التدني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في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قيم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/>
                <w:spacing w:val="-6"/>
                <w:sz w:val="24"/>
                <w:szCs w:val="24"/>
                <w:lang w:bidi="ar-SY"/>
              </w:rPr>
              <w:t>eGFR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كان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أعلى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في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مجموعة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إغلاق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الشريان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الكلوي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بالمقارنة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مع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مرضى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عدم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إغلاق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الشريان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الكلوي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مع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وجود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فارق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هام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pacing w:val="-6"/>
                <w:sz w:val="24"/>
                <w:szCs w:val="24"/>
                <w:rtl/>
                <w:lang w:bidi="ar-SY"/>
              </w:rPr>
              <w:t>إحصائياً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 xml:space="preserve"> (</w:t>
            </w:r>
            <w:r>
              <w:rPr>
                <w:rFonts w:ascii="Arial" w:cs="Arial" w:hAnsi="Arial"/>
                <w:spacing w:val="-6"/>
                <w:sz w:val="24"/>
                <w:szCs w:val="24"/>
                <w:lang w:bidi="ar-SY"/>
              </w:rPr>
              <w:t>P= 0.003</w:t>
            </w:r>
            <w:r>
              <w:rPr>
                <w:rFonts w:ascii="Arial" w:cs="Arial" w:hAnsi="Arial"/>
                <w:spacing w:val="-6"/>
                <w:sz w:val="24"/>
                <w:szCs w:val="24"/>
                <w:rtl/>
                <w:lang w:bidi="ar-SY"/>
              </w:rPr>
              <w:t>).</w:t>
            </w:r>
          </w:p>
        </w:tc>
        <w:tc>
          <w:tcPr>
            <w:tcW w:w="13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>
            <w:pPr>
              <w:pStyle w:val="style0"/>
              <w:bidi/>
              <w:spacing w:after="0" w:lineRule="auto" w:line="276"/>
              <w:jc w:val="lowKashida"/>
              <w:rPr>
                <w:rFonts w:ascii="Arial" w:cs="Arial" w:hAnsi="Arial"/>
                <w:sz w:val="2"/>
                <w:szCs w:val="2"/>
                <w:rtl/>
                <w:lang w:bidi="ar-SY"/>
              </w:rPr>
            </w:pPr>
          </w:p>
        </w:tc>
        <w:tc>
          <w:tcPr>
            <w:tcW w:w="783" w:type="pct"/>
            <w:tcBorders>
              <w:left w:val="none" w:sz="0" w:space="0" w:color="auto"/>
            </w:tcBorders>
          </w:tcPr>
          <w:p>
            <w:pPr>
              <w:pStyle w:val="style0"/>
              <w:bidi/>
              <w:spacing w:after="0" w:lineRule="auto" w:line="276"/>
              <w:jc w:val="lowKashida"/>
              <w:rPr>
                <w:rFonts w:ascii="Arial" w:cs="Arial" w:hAnsi="Arial"/>
                <w:sz w:val="4"/>
                <w:szCs w:val="4"/>
                <w:rtl/>
                <w:lang w:bidi="ar-SY"/>
              </w:rPr>
            </w:pPr>
          </w:p>
          <w:p>
            <w:pPr>
              <w:pStyle w:val="style0"/>
              <w:bidi/>
              <w:spacing w:after="0" w:lineRule="auto" w:line="360"/>
              <w:jc w:val="lowKashida"/>
              <w:rPr>
                <w:rFonts w:ascii="Arial" w:cs="Arial" w:hAnsi="Arial"/>
                <w:sz w:val="24"/>
                <w:szCs w:val="24"/>
                <w:rtl/>
                <w:lang w:bidi="ar-SY"/>
              </w:rPr>
            </w:pP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إجراء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استئصال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كلية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قسمي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دون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إغلاق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الشريان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الكلوي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لسرطانات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الخلية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الكلوية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  <w:lang w:bidi="ar-SY"/>
              </w:rPr>
              <w:t>T1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،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يقلل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من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تدهور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الوظيفة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الكلوية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بعد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الجراحة،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مع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الأخذ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بعين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الاعتبار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الحاجة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لنقل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دم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أكثر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خلال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وبعد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العمل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الجراحي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إضافةً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لزيادة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مدة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العمل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Arial" w:cs="Arial" w:hAnsi="Arial" w:hint="cs"/>
                <w:sz w:val="24"/>
                <w:szCs w:val="24"/>
                <w:rtl/>
                <w:lang w:bidi="ar-SY"/>
              </w:rPr>
              <w:t>الجراحي</w:t>
            </w:r>
            <w:r>
              <w:rPr>
                <w:rFonts w:ascii="Arial" w:cs="Arial" w:hAnsi="Arial"/>
                <w:sz w:val="24"/>
                <w:szCs w:val="24"/>
                <w:rtl/>
                <w:lang w:bidi="ar-SY"/>
              </w:rPr>
              <w:t>.</w:t>
            </w:r>
          </w:p>
        </w:tc>
      </w:tr>
    </w:tbl>
    <w:p>
      <w:pPr>
        <w:pStyle w:val="style0"/>
        <w:bidi/>
        <w:rPr>
          <w:sz w:val="2"/>
          <w:szCs w:val="2"/>
          <w:rtl/>
        </w:rPr>
      </w:pPr>
    </w:p>
    <w:tbl>
      <w:tblPr>
        <w:tblStyle w:val="style235"/>
        <w:bidiVisual/>
        <w:tblW w:w="3127" w:type="pct"/>
        <w:tblInd w:w="198" w:type="dxa"/>
        <w:tblLook w:val="04A0" w:firstRow="1" w:lastRow="0" w:firstColumn="1" w:lastColumn="0" w:noHBand="0" w:noVBand="1"/>
      </w:tblPr>
      <w:tblGrid>
        <w:gridCol w:w="6766"/>
      </w:tblGrid>
      <w:tr>
        <w:trPr/>
        <w:tc>
          <w:tcPr>
            <w:tcW w:w="5000" w:type="pct"/>
            <w:tcBorders/>
            <w:shd w:val="clear" w:color="auto" w:fill="b2a1c7"/>
          </w:tcPr>
          <w:p>
            <w:pPr>
              <w:pStyle w:val="style0"/>
              <w:bidi/>
              <w:spacing w:after="0" w:lineRule="auto" w:line="276"/>
              <w:jc w:val="lowKashida"/>
              <w:rPr>
                <w:rFonts w:ascii="Arial" w:cs="Arial" w:hAnsi="Arial"/>
                <w:b w:val="false"/>
                <w:bCs w:val="false"/>
                <w:sz w:val="24"/>
                <w:szCs w:val="24"/>
                <w:rtl/>
                <w:lang w:bidi="ar-SY"/>
              </w:rPr>
            </w:pPr>
            <w:r>
              <w:rPr>
                <w:rFonts w:ascii="Arial" w:cs="Arial" w:hAnsi="Arial" w:hint="cs"/>
                <w:b w:val="false"/>
                <w:bCs w:val="false"/>
                <w:sz w:val="28"/>
                <w:szCs w:val="28"/>
                <w:rtl/>
                <w:lang w:bidi="ar-SY"/>
              </w:rPr>
              <w:t>شكر وتقدير :</w:t>
            </w: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bidi/>
              <w:spacing w:after="0" w:lineRule="auto" w:line="276"/>
              <w:jc w:val="lowKashida"/>
              <w:rPr>
                <w:rFonts w:ascii="Arial" w:cs="Arial" w:hAnsi="Arial"/>
                <w:b w:val="false"/>
                <w:bCs w:val="false"/>
                <w:sz w:val="24"/>
                <w:szCs w:val="24"/>
                <w:rtl/>
                <w:lang w:bidi="ar-SY"/>
              </w:rPr>
            </w:pPr>
            <w:r>
              <w:rPr>
                <w:rFonts w:ascii="Arial" w:cs="Arial" w:hAnsi="Arial" w:hint="cs"/>
                <w:b w:val="false"/>
                <w:bCs w:val="false"/>
                <w:sz w:val="24"/>
                <w:szCs w:val="24"/>
                <w:rtl/>
                <w:lang w:bidi="ar-SY"/>
              </w:rPr>
              <w:t>م.د. محمد الطويل لإشرافه على هذا البحث</w:t>
            </w:r>
          </w:p>
          <w:p>
            <w:pPr>
              <w:pStyle w:val="style0"/>
              <w:bidi/>
              <w:spacing w:after="0" w:lineRule="auto" w:line="276"/>
              <w:jc w:val="lowKashida"/>
              <w:rPr>
                <w:rFonts w:ascii="Arial" w:cs="Arial" w:hAnsi="Arial"/>
                <w:b w:val="false"/>
                <w:bCs w:val="false"/>
                <w:sz w:val="24"/>
                <w:szCs w:val="24"/>
                <w:rtl/>
                <w:lang w:bidi="ar-SY"/>
              </w:rPr>
            </w:pPr>
            <w:r>
              <w:rPr>
                <w:rFonts w:ascii="Arial" w:cs="Arial" w:hAnsi="Arial" w:hint="cs"/>
                <w:b w:val="false"/>
                <w:bCs w:val="false"/>
                <w:sz w:val="24"/>
                <w:szCs w:val="24"/>
                <w:rtl/>
                <w:lang w:bidi="ar-SY"/>
              </w:rPr>
              <w:t xml:space="preserve">أ.د. صلاح الدين رمضان رئيس قسم الجراحة في كلية الطب </w:t>
            </w: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rtl/>
                <w:lang w:bidi="ar-SY"/>
              </w:rPr>
              <w:t>–</w:t>
            </w:r>
            <w:r>
              <w:rPr>
                <w:rFonts w:ascii="Arial" w:cs="Arial" w:hAnsi="Arial" w:hint="cs"/>
                <w:b w:val="false"/>
                <w:bCs w:val="false"/>
                <w:sz w:val="24"/>
                <w:szCs w:val="24"/>
                <w:rtl/>
                <w:lang w:bidi="ar-SY"/>
              </w:rPr>
              <w:t xml:space="preserve"> جامعة دمشق </w:t>
            </w:r>
          </w:p>
        </w:tc>
      </w:tr>
    </w:tbl>
    <w:p>
      <w:pPr>
        <w:pStyle w:val="style0"/>
        <w:bidi/>
        <w:rPr/>
      </w:pP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double" w:sz="18" w:space="24" w:color="0070c0"/>
        <w:left w:val="double" w:sz="18" w:space="24" w:color="0070c0"/>
        <w:bottom w:val="double" w:sz="18" w:space="24" w:color="0070c0"/>
        <w:right w:val="double" w:sz="18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DecoType Thuluth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altName w:val="Monotype Corsiva"/>
    <w:panose1 w:val="03010101010002010101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366</Words>
  <Pages>1</Pages>
  <Characters>1935</Characters>
  <Application>WPS Office</Application>
  <DocSecurity>0</DocSecurity>
  <Paragraphs>45</Paragraphs>
  <ScaleCrop>false</ScaleCrop>
  <LinksUpToDate>false</LinksUpToDate>
  <CharactersWithSpaces>2290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2024-11-05T16:46:03Z</dcterms:created>
  <dc:creator>pc</dc:creator>
  <lastModifiedBy>POCOPHONE F1</lastModifiedBy>
  <lastPrinted>2024-01-20T06:06:00Z</lastPrinted>
  <dcterms:modified xsi:type="dcterms:W3CDTF">2024-11-05T16:46:03Z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